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bookmarkStart w:id="0" w:name="_GoBack"/>
      <w:bookmarkEnd w:id="0"/>
      <w:r>
        <w:rPr>
          <w:rStyle w:val="a5"/>
          <w:color w:val="000000"/>
        </w:rPr>
        <w:t xml:space="preserve">     </w:t>
      </w:r>
      <w:r w:rsidR="00E12CFE">
        <w:rPr>
          <w:rStyle w:val="a5"/>
          <w:color w:val="000000"/>
        </w:rPr>
        <w:t> </w:t>
      </w:r>
      <w:r w:rsidR="00E12CFE">
        <w:rPr>
          <w:color w:val="000000"/>
        </w:rPr>
        <w:t>В случае невозможности использования земельного участка по целевому назначению, собственник вправе добровольно отказаться от него.</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Процедура отказа от земельного участка значительно упрощена. В настоящее время отказ от земельного участка не зависит от воли или желания муниципальных органов, достаточно того, чтобы собственник написал заявление.</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 xml:space="preserve">В соответствии со статьей 53 Земельного Кодекса Российской Федерации (далее - Кодекса)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w:t>
      </w:r>
      <w:proofErr w:type="gramStart"/>
      <w:r w:rsidR="00E12CFE">
        <w:rPr>
          <w:color w:val="000000"/>
        </w:rPr>
        <w:t>с даты</w:t>
      </w:r>
      <w:proofErr w:type="gramEnd"/>
      <w:r w:rsidR="00E12CFE">
        <w:rPr>
          <w:color w:val="000000"/>
        </w:rPr>
        <w:t xml:space="preserve"> государственной регистрации прекращения указанного права.</w:t>
      </w:r>
    </w:p>
    <w:p w:rsidR="00E12CFE" w:rsidRDefault="00C42761" w:rsidP="004E4232">
      <w:pPr>
        <w:pStyle w:val="a4"/>
        <w:shd w:val="clear" w:color="auto" w:fill="FFFFFF"/>
        <w:tabs>
          <w:tab w:val="left" w:pos="426"/>
        </w:tabs>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 w:history="1">
        <w:r w:rsidR="00E12CFE">
          <w:rPr>
            <w:rStyle w:val="a3"/>
            <w:color w:val="000000"/>
            <w:u w:val="none"/>
          </w:rPr>
          <w:t>орган</w:t>
        </w:r>
      </w:hyperlink>
      <w:r w:rsidR="00E12CFE">
        <w:rPr>
          <w:color w:val="000000"/>
        </w:rPr>
        <w:t> государственной власти или орган местного самоуправления, предусмотренные </w:t>
      </w:r>
      <w:hyperlink r:id="rId6" w:history="1">
        <w:r w:rsidR="00E12CFE">
          <w:rPr>
            <w:rStyle w:val="a3"/>
            <w:color w:val="000000"/>
            <w:u w:val="none"/>
          </w:rPr>
          <w:t>статьей 39.2</w:t>
        </w:r>
      </w:hyperlink>
      <w:r w:rsidR="00E12CFE">
        <w:rPr>
          <w:color w:val="000000"/>
        </w:rPr>
        <w:t>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r:id="rId7" w:history="1">
        <w:r w:rsidR="00E12CFE">
          <w:rPr>
            <w:rStyle w:val="a3"/>
            <w:color w:val="000000"/>
            <w:u w:val="none"/>
          </w:rPr>
          <w:t>пункте 2 статьи 39.9</w:t>
        </w:r>
      </w:hyperlink>
      <w:r w:rsidR="00E12CFE">
        <w:rPr>
          <w:color w:val="000000"/>
        </w:rPr>
        <w:t>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proofErr w:type="gramStart"/>
      <w:r w:rsidR="00E12CFE">
        <w:rPr>
          <w:color w:val="000000"/>
        </w:rPr>
        <w:t>Для принятия исполнительным органом государственной власти или органом местного самоуправления, предусмотренными </w:t>
      </w:r>
      <w:hyperlink r:id="rId8" w:history="1">
        <w:r w:rsidR="00E12CFE">
          <w:rPr>
            <w:rStyle w:val="a3"/>
            <w:color w:val="000000"/>
            <w:u w:val="none"/>
          </w:rPr>
          <w:t>статьей 39.2</w:t>
        </w:r>
      </w:hyperlink>
      <w:r w:rsidR="00E12CFE">
        <w:rPr>
          <w:color w:val="000000"/>
        </w:rPr>
        <w:t>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r:id="rId9" w:anchor="Par9" w:history="1">
        <w:r w:rsidR="00E12CFE">
          <w:rPr>
            <w:rStyle w:val="a3"/>
            <w:color w:val="000000"/>
            <w:u w:val="none"/>
          </w:rPr>
          <w:t>пункте 3</w:t>
        </w:r>
      </w:hyperlink>
      <w:r w:rsidR="00E12CFE">
        <w:rPr>
          <w:color w:val="000000"/>
        </w:rPr>
        <w:t> статьи 53 Кодекса документов следующие</w:t>
      </w:r>
      <w:proofErr w:type="gramEnd"/>
      <w:r w:rsidR="00E12CFE">
        <w:rPr>
          <w:color w:val="000000"/>
        </w:rPr>
        <w:t xml:space="preserve"> документы:</w:t>
      </w:r>
    </w:p>
    <w:p w:rsidR="00E12CFE" w:rsidRDefault="00E12CFE"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копия документа, подтверждающего государственную регистрацию юридического лица (для юридического лица);</w:t>
      </w:r>
    </w:p>
    <w:p w:rsidR="00E12CFE" w:rsidRDefault="00E12CFE"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E12CFE" w:rsidRDefault="00E12CFE"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r:id="rId10" w:history="1">
        <w:r>
          <w:rPr>
            <w:rStyle w:val="a3"/>
            <w:color w:val="000000"/>
            <w:u w:val="none"/>
          </w:rPr>
          <w:t>статьей 39.2</w:t>
        </w:r>
      </w:hyperlink>
      <w:r>
        <w:rPr>
          <w:color w:val="000000"/>
        </w:rPr>
        <w:t> Кодекса, о предоставлении земельного участка.</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Исполнительный орган государственной власти или орган местного самоуправления, предусмотренные </w:t>
      </w:r>
      <w:hyperlink r:id="rId11" w:history="1">
        <w:r w:rsidR="00E12CFE">
          <w:rPr>
            <w:rStyle w:val="a3"/>
            <w:color w:val="000000"/>
            <w:u w:val="none"/>
          </w:rPr>
          <w:t>статьей 39.2</w:t>
        </w:r>
      </w:hyperlink>
      <w:r w:rsidR="00E12CFE">
        <w:rPr>
          <w:color w:val="000000"/>
        </w:rPr>
        <w:t xml:space="preserve"> Кодекса, запрашивает указанные документы (их копии, сведения, содержащиеся в них) в государственных органах, органах местного </w:t>
      </w:r>
      <w:r w:rsidR="00E12CFE">
        <w:rPr>
          <w:color w:val="000000"/>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proofErr w:type="gramStart"/>
      <w:r w:rsidR="00E12CFE">
        <w:rPr>
          <w:color w:val="000000"/>
        </w:rPr>
        <w:t>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r:id="rId12" w:history="1">
        <w:r w:rsidR="00E12CFE">
          <w:rPr>
            <w:rStyle w:val="a3"/>
            <w:color w:val="000000"/>
            <w:u w:val="none"/>
          </w:rPr>
          <w:t>статьей 39.2</w:t>
        </w:r>
      </w:hyperlink>
      <w:r w:rsidR="00E12CFE">
        <w:rPr>
          <w:color w:val="000000"/>
        </w:rPr>
        <w:t>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w:t>
      </w:r>
      <w:proofErr w:type="gramEnd"/>
      <w:r w:rsidR="00E12CFE">
        <w:rPr>
          <w:color w:val="000000"/>
        </w:rPr>
        <w:t xml:space="preserve"> владения земельным участком.</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proofErr w:type="gramStart"/>
      <w:r w:rsidR="00E12CFE">
        <w:rPr>
          <w:color w:val="000000"/>
        </w:rPr>
        <w:t>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r:id="rId13" w:anchor="Par25" w:history="1">
        <w:r w:rsidR="00E12CFE">
          <w:rPr>
            <w:rStyle w:val="a3"/>
            <w:color w:val="000000"/>
            <w:u w:val="none"/>
          </w:rPr>
          <w:t>пункте 4 статьи 53</w:t>
        </w:r>
      </w:hyperlink>
      <w:r w:rsidR="00E12CFE">
        <w:rPr>
          <w:color w:val="000000"/>
        </w:rPr>
        <w:t> Кодекса, за исключением случая отказа от права на земельный участок, образуемый в соответствии с Кодексом.</w:t>
      </w:r>
      <w:proofErr w:type="gramEnd"/>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В случае</w:t>
      </w:r>
      <w:proofErr w:type="gramStart"/>
      <w:r w:rsidR="00E12CFE">
        <w:rPr>
          <w:color w:val="000000"/>
        </w:rPr>
        <w:t>,</w:t>
      </w:r>
      <w:proofErr w:type="gramEnd"/>
      <w:r w:rsidR="00E12CFE">
        <w:rPr>
          <w:color w:val="000000"/>
        </w:rPr>
        <w:t xml:space="preserve">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r:id="rId14" w:history="1">
        <w:r w:rsidR="00E12CFE">
          <w:rPr>
            <w:rStyle w:val="a3"/>
            <w:color w:val="000000"/>
            <w:u w:val="none"/>
          </w:rPr>
          <w:t>статьей 39.2</w:t>
        </w:r>
      </w:hyperlink>
      <w:r w:rsidR="00E12CFE">
        <w:rPr>
          <w:color w:val="000000"/>
        </w:rPr>
        <w:t> Кодекса, в недельный срок со дня принятия решения,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proofErr w:type="gramStart"/>
      <w:r w:rsidR="00E12CFE">
        <w:rPr>
          <w:color w:val="000000"/>
        </w:rPr>
        <w:t>Исполнительный орган государственной власти или орган местного самоуправления, предусмотренные статьей 39.2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w:t>
      </w:r>
      <w:proofErr w:type="gramEnd"/>
      <w:r w:rsidR="00E12CFE">
        <w:rPr>
          <w:color w:val="000000"/>
        </w:rPr>
        <w:t xml:space="preserve"> недельный срок со дня принятия решения, указанного в пункте 4 статьи 53 Кодекса.</w:t>
      </w:r>
    </w:p>
    <w:p w:rsidR="00E12CFE" w:rsidRDefault="00C42761"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xml:space="preserve">      </w:t>
      </w:r>
      <w:r w:rsidR="00E12CFE">
        <w:rPr>
          <w:color w:val="000000"/>
        </w:rPr>
        <w:t xml:space="preserve">Следует помнить, что в случае отказа от земельного участка необходимо обратить внимание на возмещение вреда, причиненного земельными правонарушениями. </w:t>
      </w:r>
      <w:proofErr w:type="gramStart"/>
      <w:r w:rsidR="00E12CFE">
        <w:rPr>
          <w:color w:val="000000"/>
        </w:rPr>
        <w:t>Согласно статьи</w:t>
      </w:r>
      <w:proofErr w:type="gramEnd"/>
      <w:r w:rsidR="00E12CFE">
        <w:rPr>
          <w:color w:val="000000"/>
        </w:rPr>
        <w:t xml:space="preserve"> 76 Земельного кодекса Российской Федерации юридические лица, граждане обязаны возместить в полном объеме вред, причиненный в результате совершения ими земельных правонарушений. Приведение земельных участков в пригодное для </w:t>
      </w:r>
      <w:r w:rsidR="00E12CFE">
        <w:rPr>
          <w:color w:val="000000"/>
        </w:rPr>
        <w:lastRenderedPageBreak/>
        <w:t>использования состояние при их загрязнении, других видах порчи, осуществляется юридическими лицами и гражданами, виновными в указанных земельных правонарушениях, или за их счет.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12CFE" w:rsidRDefault="00E12CFE" w:rsidP="004E4232">
      <w:pPr>
        <w:pStyle w:val="a4"/>
        <w:shd w:val="clear" w:color="auto" w:fill="FFFFFF"/>
        <w:spacing w:before="188" w:beforeAutospacing="0" w:after="188" w:afterAutospacing="0" w:line="276" w:lineRule="auto"/>
        <w:jc w:val="both"/>
        <w:rPr>
          <w:rFonts w:ascii="Arial" w:hAnsi="Arial" w:cs="Arial"/>
          <w:color w:val="000000"/>
          <w:sz w:val="21"/>
          <w:szCs w:val="21"/>
        </w:rPr>
      </w:pPr>
      <w:r>
        <w:rPr>
          <w:color w:val="000000"/>
        </w:rPr>
        <w:t> </w:t>
      </w:r>
    </w:p>
    <w:p w:rsidR="006001DC" w:rsidRDefault="006001DC" w:rsidP="004E4232"/>
    <w:sectPr w:rsidR="006001DC" w:rsidSect="005F5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FE"/>
    <w:rsid w:val="000D1A9F"/>
    <w:rsid w:val="003C24E5"/>
    <w:rsid w:val="004E4232"/>
    <w:rsid w:val="005F509F"/>
    <w:rsid w:val="006001DC"/>
    <w:rsid w:val="00992EBF"/>
    <w:rsid w:val="00C42761"/>
    <w:rsid w:val="00E1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2CFE"/>
    <w:rPr>
      <w:color w:val="0000FF"/>
      <w:u w:val="single"/>
    </w:rPr>
  </w:style>
  <w:style w:type="paragraph" w:styleId="a4">
    <w:name w:val="Normal (Web)"/>
    <w:basedOn w:val="a"/>
    <w:uiPriority w:val="99"/>
    <w:semiHidden/>
    <w:unhideWhenUsed/>
    <w:rsid w:val="00E12CF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2CFE"/>
    <w:rPr>
      <w:b/>
      <w:bCs/>
    </w:rPr>
  </w:style>
  <w:style w:type="character" w:styleId="a6">
    <w:name w:val="Emphasis"/>
    <w:basedOn w:val="a0"/>
    <w:uiPriority w:val="20"/>
    <w:qFormat/>
    <w:rsid w:val="00E12C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2CFE"/>
    <w:rPr>
      <w:color w:val="0000FF"/>
      <w:u w:val="single"/>
    </w:rPr>
  </w:style>
  <w:style w:type="paragraph" w:styleId="a4">
    <w:name w:val="Normal (Web)"/>
    <w:basedOn w:val="a"/>
    <w:uiPriority w:val="99"/>
    <w:semiHidden/>
    <w:unhideWhenUsed/>
    <w:rsid w:val="00E12CF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2CFE"/>
    <w:rPr>
      <w:b/>
      <w:bCs/>
    </w:rPr>
  </w:style>
  <w:style w:type="character" w:styleId="a6">
    <w:name w:val="Emphasis"/>
    <w:basedOn w:val="a0"/>
    <w:uiPriority w:val="20"/>
    <w:qFormat/>
    <w:rsid w:val="00E12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1AB91ED473955D81C76DB9E9BDFFED144FB0B349CCBC3443BA638FD1325E80B02CDBADD86FUFH" TargetMode="External"/><Relationship Id="rId13" Type="http://schemas.openxmlformats.org/officeDocument/2006/relationships/hyperlink" Target="http://www.rsnkomi.ru/informatsiya/razyasneniya_po_chasto_zadavaemym_voprosam/razyasneniya_po_chasto_zadavaemym_voprosam_v_sfere_gosudarstvennogo_zemelnogo_nadzora/" TargetMode="External"/><Relationship Id="rId3" Type="http://schemas.openxmlformats.org/officeDocument/2006/relationships/settings" Target="settings.xml"/><Relationship Id="rId7" Type="http://schemas.openxmlformats.org/officeDocument/2006/relationships/hyperlink" Target="consultantplus://offline/ref=791AB91ED473955D81C76DB9E9BDFFED144FB0B349CCBC3443BA638FD1325E80B02CDBACDD6FUDH" TargetMode="External"/><Relationship Id="rId12" Type="http://schemas.openxmlformats.org/officeDocument/2006/relationships/hyperlink" Target="consultantplus://offline/ref=791AB91ED473955D81C76DB9E9BDFFED144FB0B349CCBC3443BA638FD1325E80B02CDBADD86FUF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91AB91ED473955D81C76DB9E9BDFFED144FB0B349CCBC3443BA638FD1325E80B02CDBADD86FUFH" TargetMode="External"/><Relationship Id="rId11" Type="http://schemas.openxmlformats.org/officeDocument/2006/relationships/hyperlink" Target="consultantplus://offline/ref=791AB91ED473955D81C76DB9E9BDFFED144FB0B349CCBC3443BA638FD1325E80B02CDBADD86FUFH" TargetMode="External"/><Relationship Id="rId5" Type="http://schemas.openxmlformats.org/officeDocument/2006/relationships/hyperlink" Target="consultantplus://offline/ref=791AB91ED473955D81C76DB9E9BDFFED144FB1B14DC1BC3443BA638FD1325E80B02CDB6AUEH" TargetMode="External"/><Relationship Id="rId15" Type="http://schemas.openxmlformats.org/officeDocument/2006/relationships/fontTable" Target="fontTable.xml"/><Relationship Id="rId10" Type="http://schemas.openxmlformats.org/officeDocument/2006/relationships/hyperlink" Target="consultantplus://offline/ref=791AB91ED473955D81C76DB9E9BDFFED144FB0B349CCBC3443BA638FD1325E80B02CDBADD86FUFH" TargetMode="External"/><Relationship Id="rId4" Type="http://schemas.openxmlformats.org/officeDocument/2006/relationships/webSettings" Target="webSettings.xml"/><Relationship Id="rId9" Type="http://schemas.openxmlformats.org/officeDocument/2006/relationships/hyperlink" Target="http://www.rsnkomi.ru/informatsiya/razyasneniya_po_chasto_zadavaemym_voprosam/razyasneniya_po_chasto_zadavaemym_voprosam_v_sfere_gosudarstvennogo_zemelnogo_nadzora/" TargetMode="External"/><Relationship Id="rId14" Type="http://schemas.openxmlformats.org/officeDocument/2006/relationships/hyperlink" Target="consultantplus://offline/ref=791AB91ED473955D81C76DB9E9BDFFED144FB0B349CCBC3443BA638FD1325E80B02CDBADD86FU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2</cp:revision>
  <dcterms:created xsi:type="dcterms:W3CDTF">2024-07-30T08:33:00Z</dcterms:created>
  <dcterms:modified xsi:type="dcterms:W3CDTF">2024-07-30T08:33:00Z</dcterms:modified>
</cp:coreProperties>
</file>