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A" w:rsidRPr="008A37A1" w:rsidRDefault="00281ACA" w:rsidP="00281AC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>Перечень</w:t>
      </w: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br/>
        <w:t>документов, прилагаемых к заявлению о выдаче разрешения</w:t>
      </w:r>
    </w:p>
    <w:p w:rsidR="00281ACA" w:rsidRPr="008A37A1" w:rsidRDefault="00281ACA" w:rsidP="00281AC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281ACA" w:rsidRPr="008A37A1" w:rsidRDefault="00281ACA" w:rsidP="00281AC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(в ред. постановления администрации от </w:t>
      </w:r>
      <w:hyperlink r:id="rId5" w:history="1">
        <w:r w:rsidRPr="008A37A1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24.12.2021 г. № 287</w:t>
        </w:r>
      </w:hyperlink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>)</w:t>
      </w:r>
    </w:p>
    <w:p w:rsidR="00281ACA" w:rsidRPr="008A37A1" w:rsidRDefault="00281ACA" w:rsidP="00281ACA">
      <w:pPr>
        <w:widowControl w:val="0"/>
        <w:spacing w:before="108"/>
        <w:ind w:firstLine="720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1. Для принятия решения о выдаче разрешения на ввод объекта в эксплуатацию необходимы следующие документы: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 w:rsidRPr="008A37A1">
        <w:rPr>
          <w:rFonts w:ascii="Arial" w:eastAsia="Arial" w:hAnsi="Arial" w:cs="Arial"/>
          <w:lang w:val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8A37A1">
        <w:rPr>
          <w:rFonts w:ascii="Arial" w:eastAsia="Arial" w:hAnsi="Arial" w:cs="Arial"/>
          <w:lang w:val="ru-RU"/>
        </w:rPr>
        <w:t xml:space="preserve"> образование земельного участка;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3) разрешение на строительство;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 w:rsidRPr="008A37A1">
        <w:rPr>
          <w:rFonts w:ascii="Arial" w:eastAsia="Arial" w:hAnsi="Arial" w:cs="Arial"/>
          <w:lang w:val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8A37A1">
        <w:rPr>
          <w:rFonts w:ascii="Arial" w:eastAsia="Arial" w:hAnsi="Arial" w:cs="Arial"/>
          <w:lang w:val="ru-RU"/>
        </w:rPr>
        <w:t xml:space="preserve"> осуществления строительного контроля на основании договора);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7) </w:t>
      </w:r>
      <w:r w:rsidRPr="008A37A1">
        <w:rPr>
          <w:lang w:val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8A37A1">
        <w:rPr>
          <w:rFonts w:ascii="Arial" w:eastAsia="Arial" w:hAnsi="Arial" w:cs="Arial"/>
          <w:lang w:val="ru-RU"/>
        </w:rPr>
        <w:t>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(пункт 7 Приложения 2 изложен в ред. постановления администрации от </w:t>
      </w:r>
      <w:hyperlink r:id="rId6" w:history="1">
        <w:r w:rsidRPr="008A37A1">
          <w:rPr>
            <w:rFonts w:ascii="Arial" w:eastAsia="Arial" w:hAnsi="Arial" w:cs="Arial"/>
            <w:color w:val="0000EE"/>
            <w:u w:val="single" w:color="0000EE"/>
            <w:lang w:val="ru-RU"/>
          </w:rPr>
          <w:t>24.12.2021 г. № 287</w:t>
        </w:r>
      </w:hyperlink>
      <w:r w:rsidRPr="008A37A1">
        <w:rPr>
          <w:rFonts w:ascii="Arial" w:eastAsia="Arial" w:hAnsi="Arial" w:cs="Arial"/>
          <w:lang w:val="ru-RU"/>
        </w:rPr>
        <w:t>)</w:t>
      </w:r>
    </w:p>
    <w:p w:rsidR="00281ACA" w:rsidRPr="00281ACA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 w:rsidRPr="008A37A1">
        <w:rPr>
          <w:rFonts w:ascii="Arial" w:eastAsia="Arial" w:hAnsi="Arial" w:cs="Arial"/>
          <w:lang w:val="ru-RU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(включая проектную документацию, в которой учтены изменения, внесенные в соответствии с частями 3.8 и 3.9 статьи 49 </w:t>
      </w:r>
      <w:hyperlink r:id="rId7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 xml:space="preserve">), в том числе </w:t>
      </w:r>
      <w:r w:rsidRPr="008A37A1">
        <w:rPr>
          <w:rFonts w:ascii="Arial" w:eastAsia="Arial" w:hAnsi="Arial" w:cs="Arial"/>
          <w:lang w:val="ru-RU"/>
        </w:rPr>
        <w:lastRenderedPageBreak/>
        <w:t>требованиям энергетической эффективности и требованиям оснащенности объекта капитального строительства приборами учета</w:t>
      </w:r>
      <w:proofErr w:type="gramEnd"/>
      <w:r w:rsidRPr="008A37A1">
        <w:rPr>
          <w:rFonts w:ascii="Arial" w:eastAsia="Arial" w:hAnsi="Arial" w:cs="Arial"/>
          <w:lang w:val="ru-RU"/>
        </w:rPr>
        <w:t xml:space="preserve"> используемых энергетических ресурсов, заключение федерального государственного экологического надзора в случаях, предусмотренных частью </w:t>
      </w:r>
      <w:r w:rsidRPr="00281ACA">
        <w:rPr>
          <w:rFonts w:ascii="Arial" w:eastAsia="Arial" w:hAnsi="Arial" w:cs="Arial"/>
          <w:lang w:val="ru-RU"/>
        </w:rPr>
        <w:t xml:space="preserve">7 статьи 54 </w:t>
      </w:r>
      <w:hyperlink r:id="rId8" w:history="1">
        <w:r w:rsidRPr="00281AC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281ACA">
        <w:rPr>
          <w:rFonts w:ascii="Arial" w:eastAsia="Arial" w:hAnsi="Arial" w:cs="Arial"/>
          <w:lang w:val="ru-RU"/>
        </w:rPr>
        <w:t>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9) документ, подтверждающий заключение </w:t>
      </w:r>
      <w:proofErr w:type="gramStart"/>
      <w:r w:rsidRPr="008A37A1">
        <w:rPr>
          <w:rFonts w:ascii="Arial" w:eastAsia="Arial" w:hAnsi="Arial" w:cs="Arial"/>
          <w:lang w:val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A37A1">
        <w:rPr>
          <w:rFonts w:ascii="Arial" w:eastAsia="Arial" w:hAnsi="Arial" w:cs="Arial"/>
          <w:lang w:val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 w:rsidRPr="008A37A1">
        <w:rPr>
          <w:rFonts w:ascii="Arial" w:eastAsia="Arial" w:hAnsi="Arial" w:cs="Arial"/>
          <w:lang w:val="ru-RU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>
        <w:rPr>
          <w:rFonts w:ascii="Arial" w:eastAsia="Arial" w:hAnsi="Arial" w:cs="Arial"/>
        </w:rPr>
        <w:t>N</w:t>
      </w:r>
      <w:r w:rsidRPr="008A37A1">
        <w:rPr>
          <w:rFonts w:ascii="Arial" w:eastAsia="Arial" w:hAnsi="Arial" w:cs="Arial"/>
          <w:lang w:val="ru-RU"/>
        </w:rPr>
        <w:t xml:space="preserve"> 73-ФЗ "</w:t>
      </w:r>
      <w:hyperlink r:id="rId9" w:history="1">
        <w:r w:rsidRPr="008A37A1">
          <w:rPr>
            <w:color w:val="0000EE"/>
            <w:u w:val="single" w:color="0000EE"/>
            <w:lang w:val="ru-RU"/>
          </w:rPr>
          <w:t>Об объектах культурного наследия (памятниках истории и культуры) народов Российской Федерации</w:t>
        </w:r>
      </w:hyperlink>
      <w:r w:rsidRPr="008A37A1">
        <w:rPr>
          <w:rFonts w:ascii="Arial" w:eastAsia="Arial" w:hAnsi="Arial" w:cs="Arial"/>
          <w:lang w:val="ru-RU"/>
        </w:rPr>
        <w:t>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11) 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Arial" w:eastAsia="Arial" w:hAnsi="Arial" w:cs="Arial"/>
        </w:rPr>
        <w:t>N</w:t>
      </w:r>
      <w:r w:rsidRPr="008A37A1">
        <w:rPr>
          <w:rFonts w:ascii="Arial" w:eastAsia="Arial" w:hAnsi="Arial" w:cs="Arial"/>
          <w:lang w:val="ru-RU"/>
        </w:rPr>
        <w:t xml:space="preserve"> 218-ФЗ "</w:t>
      </w:r>
      <w:hyperlink r:id="rId10" w:history="1">
        <w:r w:rsidRPr="008A37A1">
          <w:rPr>
            <w:color w:val="0000EE"/>
            <w:u w:val="single" w:color="0000EE"/>
            <w:lang w:val="ru-RU"/>
          </w:rPr>
          <w:t>О государственной регистрации недвижимости</w:t>
        </w:r>
      </w:hyperlink>
      <w:r w:rsidRPr="008A37A1">
        <w:rPr>
          <w:rFonts w:ascii="Arial" w:eastAsia="Arial" w:hAnsi="Arial" w:cs="Arial"/>
          <w:lang w:val="ru-RU"/>
        </w:rPr>
        <w:t>".</w:t>
      </w:r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Документы, указанные в пунктах 1, 4, 5, 6, 7, 8, 9, 10, 11 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8A37A1">
        <w:rPr>
          <w:rFonts w:ascii="Arial" w:eastAsia="Arial" w:hAnsi="Arial" w:cs="Arial"/>
          <w:lang w:val="ru-RU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281ACA" w:rsidRPr="008A37A1" w:rsidRDefault="00281ACA" w:rsidP="00281AC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281ACA" w:rsidRPr="008A37A1" w:rsidRDefault="00281ACA" w:rsidP="00281ACA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rPr>
          <w:sz w:val="20"/>
          <w:szCs w:val="20"/>
        </w:rPr>
        <w:t> </w:t>
      </w:r>
    </w:p>
    <w:p w:rsidR="00C03356" w:rsidRPr="00281ACA" w:rsidRDefault="00C03356">
      <w:pPr>
        <w:rPr>
          <w:lang w:val="ru-RU"/>
        </w:rPr>
      </w:pPr>
      <w:bookmarkStart w:id="0" w:name="_GoBack"/>
      <w:bookmarkEnd w:id="0"/>
    </w:p>
    <w:sectPr w:rsidR="00C03356" w:rsidRPr="0028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3"/>
    <w:rsid w:val="00281ACA"/>
    <w:rsid w:val="009047F3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281AC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1AC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281AC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1AC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387507c3-b80d-4c0d-9291-8cdc81673f2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387507c3-b80d-4c0d-9291-8cdc81673f2b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e6d8e6be-6d6c-4e30-8acc-f7598e103e5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e6d8e6be-6d6c-4e30-8acc-f7598e103e58.html" TargetMode="External"/><Relationship Id="rId10" Type="http://schemas.openxmlformats.org/officeDocument/2006/relationships/hyperlink" Target="http://rnla-service.scli.ru:8080/rnla-links/ws/content/act/cff822a1-201b-4168-905d-21f0ba5fc4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bdca97b4-277d-4f20-9d6e-99687b7290f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2023-03-23T09:29:00Z</dcterms:created>
  <dcterms:modified xsi:type="dcterms:W3CDTF">2023-03-23T09:29:00Z</dcterms:modified>
</cp:coreProperties>
</file>